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A70" w:rsidRPr="00A15A70" w:rsidRDefault="00A15A70" w:rsidP="00A15A70">
      <w:pPr>
        <w:widowControl/>
        <w:shd w:val="clear" w:color="auto" w:fill="FEFEFE"/>
        <w:spacing w:line="360" w:lineRule="atLeast"/>
        <w:jc w:val="center"/>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广西财政厅关于印发广西壮族自治区本级党政机关差旅费管理办法的通知</w:t>
      </w:r>
    </w:p>
    <w:p w:rsidR="00A15A70" w:rsidRPr="00A15A70" w:rsidRDefault="00A15A70" w:rsidP="00A15A70">
      <w:pPr>
        <w:widowControl/>
        <w:shd w:val="clear" w:color="auto" w:fill="FEFEFE"/>
        <w:spacing w:line="360" w:lineRule="atLeast"/>
        <w:jc w:val="center"/>
        <w:rPr>
          <w:rFonts w:ascii="宋体" w:eastAsia="宋体" w:hAnsi="宋体" w:cs="宋体" w:hint="eastAsia"/>
          <w:color w:val="0D0D0D" w:themeColor="text1" w:themeTint="F2"/>
          <w:kern w:val="0"/>
          <w:szCs w:val="21"/>
        </w:rPr>
      </w:pPr>
      <w:proofErr w:type="gramStart"/>
      <w:r w:rsidRPr="00A15A70">
        <w:rPr>
          <w:rFonts w:ascii="宋体" w:eastAsia="宋体" w:hAnsi="宋体" w:cs="宋体" w:hint="eastAsia"/>
          <w:color w:val="0D0D0D" w:themeColor="text1" w:themeTint="F2"/>
          <w:kern w:val="0"/>
          <w:szCs w:val="21"/>
        </w:rPr>
        <w:t>桂财行〔2014〕</w:t>
      </w:r>
      <w:proofErr w:type="gramEnd"/>
      <w:r w:rsidRPr="00A15A70">
        <w:rPr>
          <w:rFonts w:ascii="宋体" w:eastAsia="宋体" w:hAnsi="宋体" w:cs="宋体" w:hint="eastAsia"/>
          <w:color w:val="0D0D0D" w:themeColor="text1" w:themeTint="F2"/>
          <w:kern w:val="0"/>
          <w:szCs w:val="21"/>
        </w:rPr>
        <w:t>30号                               2014.5.7</w:t>
      </w:r>
    </w:p>
    <w:p w:rsidR="00A15A70" w:rsidRPr="00A15A70" w:rsidRDefault="00A15A70" w:rsidP="00A15A7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A15A70">
        <w:rPr>
          <w:rFonts w:ascii="宋体" w:eastAsia="宋体" w:hAnsi="宋体" w:cs="宋体" w:hint="eastAsia"/>
          <w:color w:val="0D0D0D" w:themeColor="text1" w:themeTint="F2"/>
          <w:kern w:val="0"/>
          <w:szCs w:val="21"/>
        </w:rPr>
        <w:t>区直各单位： </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为贯彻落实中央和自治区关于改进工作作风，密切联系群众八项规定及其实施细则，推进厉行节约反对浪费制度建设，进一步加强和规范自治区本级党政机关差旅费管理，经自治区人民政府同意，现将《广西壮族自治区本级党政机关差旅费管理办法》印发给你们，请结合实际情况，认真贯彻执行。执行过程中如有问题、意见和建议，请及时函告我厅。</w:t>
      </w:r>
    </w:p>
    <w:p w:rsidR="00A15A70" w:rsidRPr="00A15A70" w:rsidRDefault="00A15A70" w:rsidP="00A15A70">
      <w:pPr>
        <w:widowControl/>
        <w:shd w:val="clear" w:color="auto" w:fill="FEFEFE"/>
        <w:spacing w:line="360" w:lineRule="atLeast"/>
        <w:jc w:val="right"/>
        <w:rPr>
          <w:rFonts w:ascii="宋体" w:eastAsia="宋体" w:hAnsi="宋体" w:cs="宋体" w:hint="eastAsia"/>
          <w:color w:val="0D0D0D" w:themeColor="text1" w:themeTint="F2"/>
          <w:kern w:val="0"/>
          <w:szCs w:val="21"/>
        </w:rPr>
      </w:pPr>
      <w:r w:rsidRPr="00A15A70">
        <w:rPr>
          <w:rFonts w:ascii="宋体" w:eastAsia="宋体" w:hAnsi="宋体" w:cs="宋体" w:hint="eastAsia"/>
          <w:color w:val="0D0D0D" w:themeColor="text1" w:themeTint="F2"/>
          <w:kern w:val="0"/>
          <w:szCs w:val="21"/>
        </w:rPr>
        <w:t>广西壮族自治区财政厅 </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2014年5月7日</w:t>
      </w:r>
    </w:p>
    <w:p w:rsidR="00A15A70" w:rsidRPr="00A15A70" w:rsidRDefault="00A15A70" w:rsidP="00A15A70">
      <w:pPr>
        <w:widowControl/>
        <w:shd w:val="clear" w:color="auto" w:fill="FEFEFE"/>
        <w:spacing w:line="360" w:lineRule="atLeast"/>
        <w:jc w:val="center"/>
        <w:rPr>
          <w:rFonts w:ascii="宋体" w:eastAsia="宋体" w:hAnsi="宋体" w:cs="宋体" w:hint="eastAsia"/>
          <w:color w:val="0D0D0D" w:themeColor="text1" w:themeTint="F2"/>
          <w:kern w:val="0"/>
          <w:szCs w:val="21"/>
        </w:rPr>
      </w:pPr>
      <w:r w:rsidRPr="00A15A70">
        <w:rPr>
          <w:rFonts w:ascii="宋体" w:eastAsia="宋体" w:hAnsi="宋体" w:cs="宋体" w:hint="eastAsia"/>
          <w:color w:val="0D0D0D" w:themeColor="text1" w:themeTint="F2"/>
          <w:kern w:val="0"/>
          <w:szCs w:val="21"/>
        </w:rPr>
        <w:t>广西壮族自治区本级党政机关差旅费管理办法</w:t>
      </w:r>
    </w:p>
    <w:p w:rsidR="00A15A70" w:rsidRPr="00A15A70" w:rsidRDefault="00A15A70" w:rsidP="00A15A70">
      <w:pPr>
        <w:widowControl/>
        <w:shd w:val="clear" w:color="auto" w:fill="FEFEFE"/>
        <w:spacing w:line="360" w:lineRule="atLeast"/>
        <w:jc w:val="left"/>
        <w:rPr>
          <w:rFonts w:ascii="宋体" w:eastAsia="宋体" w:hAnsi="宋体" w:cs="宋体" w:hint="eastAsia"/>
          <w:color w:val="0D0D0D" w:themeColor="text1" w:themeTint="F2"/>
          <w:kern w:val="0"/>
          <w:szCs w:val="21"/>
        </w:rPr>
      </w:pPr>
      <w:r w:rsidRPr="00A15A70">
        <w:rPr>
          <w:rFonts w:ascii="宋体" w:eastAsia="宋体" w:hAnsi="宋体" w:cs="宋体" w:hint="eastAsia"/>
          <w:color w:val="0D0D0D" w:themeColor="text1" w:themeTint="F2"/>
          <w:kern w:val="0"/>
          <w:szCs w:val="21"/>
        </w:rPr>
        <w:t>第一章 总 则 </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第一条  为加强和规范自治区本级党政机关国内差旅费管理，推进厉行节约反对浪费。根据《中央和国家机关差旅费管理办法》、《党政机关厉行节约反对浪费条例》，制定本办法。</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第二条  本办法适用于自治区本级党政机关（包括党的机关，人大机关、政府机关、政协机关、审判机关、检察机关、民主党派机关、工青妇等群众团体，下同），以及参照公务员法管理的事业单位，包括自治区直属驻外地的党政机关和参照公务员法管理的事业单位（以下简称自治区各单位）。    </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第三条  差旅费是指工作人员临时到常驻地以外地区公务出差所发生的城市间交通费、住宿费、伙食补助费和市内交通费。</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第四条  自治区各单位应当建立健全公务</w:t>
      </w:r>
      <w:proofErr w:type="gramStart"/>
      <w:r w:rsidRPr="00A15A70">
        <w:rPr>
          <w:rFonts w:ascii="宋体" w:eastAsia="宋体" w:hAnsi="宋体" w:cs="宋体" w:hint="eastAsia"/>
          <w:color w:val="0D0D0D" w:themeColor="text1" w:themeTint="F2"/>
          <w:kern w:val="0"/>
          <w:szCs w:val="21"/>
        </w:rPr>
        <w:t>差旅审批</w:t>
      </w:r>
      <w:proofErr w:type="gramEnd"/>
      <w:r w:rsidRPr="00A15A70">
        <w:rPr>
          <w:rFonts w:ascii="宋体" w:eastAsia="宋体" w:hAnsi="宋体" w:cs="宋体" w:hint="eastAsia"/>
          <w:color w:val="0D0D0D" w:themeColor="text1" w:themeTint="F2"/>
          <w:kern w:val="0"/>
          <w:szCs w:val="21"/>
        </w:rPr>
        <w:t>制度，出差必须按规定报经单位有关领导批准，从严控制出差人数和天数，严格差旅费预算管理，控制差旅费支出规模，严禁无实质内容、无明确公务目的的差旅活动，严禁以任何名义和方式变相旅游，严禁异地部门间无实质内容的学习交流和考察调研。</w:t>
      </w:r>
      <w:r w:rsidRPr="004A395D">
        <w:rPr>
          <w:rFonts w:ascii="宋体" w:eastAsia="宋体" w:hAnsi="宋体" w:cs="宋体" w:hint="eastAsia"/>
          <w:color w:val="0D0D0D" w:themeColor="text1" w:themeTint="F2"/>
          <w:kern w:val="0"/>
        </w:rPr>
        <w:t> </w:t>
      </w:r>
    </w:p>
    <w:p w:rsidR="00A15A70" w:rsidRPr="00A15A70" w:rsidRDefault="00A15A70" w:rsidP="00A15A70">
      <w:pPr>
        <w:widowControl/>
        <w:jc w:val="left"/>
        <w:rPr>
          <w:rFonts w:ascii="宋体" w:eastAsia="宋体" w:hAnsi="宋体" w:cs="宋体" w:hint="eastAsia"/>
          <w:color w:val="0D0D0D" w:themeColor="text1" w:themeTint="F2"/>
          <w:kern w:val="0"/>
          <w:sz w:val="24"/>
          <w:szCs w:val="24"/>
        </w:rPr>
      </w:pPr>
      <w:r w:rsidRPr="00A15A70">
        <w:rPr>
          <w:rFonts w:ascii="宋体" w:eastAsia="宋体" w:hAnsi="宋体" w:cs="宋体" w:hint="eastAsia"/>
          <w:color w:val="0D0D0D" w:themeColor="text1" w:themeTint="F2"/>
          <w:kern w:val="0"/>
          <w:szCs w:val="21"/>
        </w:rPr>
        <w:br/>
      </w:r>
      <w:r w:rsidRPr="00A15A70">
        <w:rPr>
          <w:rFonts w:ascii="宋体" w:eastAsia="宋体" w:hAnsi="宋体" w:cs="宋体" w:hint="eastAsia"/>
          <w:color w:val="0D0D0D" w:themeColor="text1" w:themeTint="F2"/>
          <w:kern w:val="0"/>
          <w:szCs w:val="21"/>
          <w:shd w:val="clear" w:color="auto" w:fill="FEFEFE"/>
        </w:rPr>
        <w:t> </w:t>
      </w:r>
      <w:r w:rsidRPr="00A15A70">
        <w:rPr>
          <w:rFonts w:ascii="宋体" w:eastAsia="宋体" w:hAnsi="宋体" w:cs="宋体" w:hint="eastAsia"/>
          <w:color w:val="0D0D0D" w:themeColor="text1" w:themeTint="F2"/>
          <w:kern w:val="0"/>
          <w:szCs w:val="21"/>
        </w:rPr>
        <w:br/>
      </w:r>
      <w:r w:rsidRPr="00A15A70">
        <w:rPr>
          <w:rFonts w:ascii="宋体" w:eastAsia="宋体" w:hAnsi="宋体" w:cs="宋体" w:hint="eastAsia"/>
          <w:color w:val="0D0D0D" w:themeColor="text1" w:themeTint="F2"/>
          <w:kern w:val="0"/>
          <w:szCs w:val="21"/>
          <w:shd w:val="clear" w:color="auto" w:fill="FEFEFE"/>
        </w:rPr>
        <w:t>第五条  财政厅按照分级别、分项目的原则制定差旅费标准，并根据经济社会发展、物价及消费水平变动情况适时调整。</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r>
      <w:r w:rsidRPr="00A15A70">
        <w:rPr>
          <w:rFonts w:ascii="宋体" w:eastAsia="宋体" w:hAnsi="宋体" w:cs="宋体" w:hint="eastAsia"/>
          <w:color w:val="0D0D0D" w:themeColor="text1" w:themeTint="F2"/>
          <w:kern w:val="0"/>
          <w:szCs w:val="21"/>
          <w:shd w:val="clear" w:color="auto" w:fill="FEFEFE"/>
        </w:rPr>
        <w:t> </w:t>
      </w:r>
      <w:r w:rsidRPr="00A15A70">
        <w:rPr>
          <w:rFonts w:ascii="宋体" w:eastAsia="宋体" w:hAnsi="宋体" w:cs="宋体" w:hint="eastAsia"/>
          <w:color w:val="0D0D0D" w:themeColor="text1" w:themeTint="F2"/>
          <w:kern w:val="0"/>
          <w:szCs w:val="21"/>
        </w:rPr>
        <w:br/>
      </w:r>
      <w:r w:rsidRPr="00A15A70">
        <w:rPr>
          <w:rFonts w:ascii="宋体" w:eastAsia="宋体" w:hAnsi="宋体" w:cs="宋体" w:hint="eastAsia"/>
          <w:color w:val="0D0D0D" w:themeColor="text1" w:themeTint="F2"/>
          <w:kern w:val="0"/>
          <w:szCs w:val="21"/>
          <w:shd w:val="clear" w:color="auto" w:fill="FEFEFE"/>
        </w:rPr>
        <w:t>第二章 城市间交通费</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r>
      <w:r w:rsidRPr="00A15A70">
        <w:rPr>
          <w:rFonts w:ascii="宋体" w:eastAsia="宋体" w:hAnsi="宋体" w:cs="宋体" w:hint="eastAsia"/>
          <w:color w:val="0D0D0D" w:themeColor="text1" w:themeTint="F2"/>
          <w:kern w:val="0"/>
          <w:szCs w:val="21"/>
          <w:shd w:val="clear" w:color="auto" w:fill="FEFEFE"/>
        </w:rPr>
        <w:t>第六条  城市间交通费是指工作人员因公到常驻地以外地区出差乘坐火车、轮船、飞机等交通工具所发生的费用。</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r>
      <w:r w:rsidRPr="00A15A70">
        <w:rPr>
          <w:rFonts w:ascii="宋体" w:eastAsia="宋体" w:hAnsi="宋体" w:cs="宋体" w:hint="eastAsia"/>
          <w:color w:val="0D0D0D" w:themeColor="text1" w:themeTint="F2"/>
          <w:kern w:val="0"/>
          <w:szCs w:val="21"/>
          <w:shd w:val="clear" w:color="auto" w:fill="FEFEFE"/>
        </w:rPr>
        <w:t> </w:t>
      </w:r>
      <w:r w:rsidRPr="00A15A70">
        <w:rPr>
          <w:rFonts w:ascii="宋体" w:eastAsia="宋体" w:hAnsi="宋体" w:cs="宋体" w:hint="eastAsia"/>
          <w:color w:val="0D0D0D" w:themeColor="text1" w:themeTint="F2"/>
          <w:kern w:val="0"/>
          <w:szCs w:val="21"/>
        </w:rPr>
        <w:br/>
      </w:r>
      <w:r w:rsidRPr="00A15A70">
        <w:rPr>
          <w:rFonts w:ascii="宋体" w:eastAsia="宋体" w:hAnsi="宋体" w:cs="宋体" w:hint="eastAsia"/>
          <w:color w:val="0D0D0D" w:themeColor="text1" w:themeTint="F2"/>
          <w:kern w:val="0"/>
          <w:szCs w:val="21"/>
          <w:shd w:val="clear" w:color="auto" w:fill="FEFEFE"/>
        </w:rPr>
        <w:t>第七条  出差人员应当按规定等级乘坐交通工具。乘坐交通工具的等级见下表：</w:t>
      </w:r>
    </w:p>
    <w:tbl>
      <w:tblPr>
        <w:tblW w:w="0" w:type="auto"/>
        <w:jc w:val="center"/>
        <w:tblCellSpacing w:w="0" w:type="dxa"/>
        <w:tblBorders>
          <w:top w:val="outset" w:sz="6" w:space="0" w:color="auto"/>
          <w:left w:val="outset" w:sz="6" w:space="0" w:color="auto"/>
          <w:bottom w:val="outset" w:sz="6" w:space="0" w:color="auto"/>
          <w:right w:val="outset" w:sz="6" w:space="0" w:color="auto"/>
        </w:tblBorders>
        <w:shd w:val="clear" w:color="auto" w:fill="FEFEFE"/>
        <w:tblCellMar>
          <w:left w:w="0" w:type="dxa"/>
          <w:right w:w="0" w:type="dxa"/>
        </w:tblCellMar>
        <w:tblLook w:val="04A0"/>
      </w:tblPr>
      <w:tblGrid>
        <w:gridCol w:w="2609"/>
        <w:gridCol w:w="2057"/>
        <w:gridCol w:w="1156"/>
        <w:gridCol w:w="843"/>
        <w:gridCol w:w="1671"/>
      </w:tblGrid>
      <w:tr w:rsidR="00A15A70" w:rsidRPr="00A15A70" w:rsidTr="00A15A70">
        <w:trPr>
          <w:tblCellSpacing w:w="0" w:type="dxa"/>
          <w:jc w:val="center"/>
        </w:trPr>
        <w:tc>
          <w:tcPr>
            <w:tcW w:w="2655" w:type="dxa"/>
            <w:tcBorders>
              <w:top w:val="outset" w:sz="6" w:space="0" w:color="auto"/>
              <w:left w:val="outset" w:sz="6" w:space="0" w:color="auto"/>
              <w:bottom w:val="outset" w:sz="6" w:space="0" w:color="auto"/>
              <w:right w:val="outset" w:sz="6" w:space="0" w:color="auto"/>
            </w:tcBorders>
            <w:shd w:val="clear" w:color="auto" w:fill="FEFEFE"/>
            <w:hideMark/>
          </w:tcPr>
          <w:p w:rsidR="00A15A70" w:rsidRPr="00A15A70" w:rsidRDefault="00A15A70" w:rsidP="00A15A70">
            <w:pPr>
              <w:widowControl/>
              <w:spacing w:line="360" w:lineRule="atLeast"/>
              <w:jc w:val="left"/>
              <w:rPr>
                <w:rFonts w:ascii="宋体" w:eastAsia="宋体" w:hAnsi="宋体" w:cs="宋体" w:hint="eastAsia"/>
                <w:color w:val="0D0D0D" w:themeColor="text1" w:themeTint="F2"/>
                <w:kern w:val="0"/>
                <w:szCs w:val="21"/>
              </w:rPr>
            </w:pPr>
            <w:r w:rsidRPr="00A15A70">
              <w:rPr>
                <w:rFonts w:ascii="宋体" w:eastAsia="宋体" w:hAnsi="宋体" w:cs="宋体" w:hint="eastAsia"/>
                <w:color w:val="0D0D0D" w:themeColor="text1" w:themeTint="F2"/>
                <w:kern w:val="0"/>
                <w:szCs w:val="21"/>
              </w:rPr>
              <w:t> </w:t>
            </w:r>
          </w:p>
          <w:p w:rsidR="00A15A70" w:rsidRPr="00A15A70" w:rsidRDefault="00A15A70" w:rsidP="00A15A70">
            <w:pPr>
              <w:widowControl/>
              <w:spacing w:line="360" w:lineRule="atLeast"/>
              <w:jc w:val="left"/>
              <w:rPr>
                <w:rFonts w:ascii="宋体" w:eastAsia="宋体" w:hAnsi="宋体" w:cs="宋体" w:hint="eastAsia"/>
                <w:color w:val="0D0D0D" w:themeColor="text1" w:themeTint="F2"/>
                <w:kern w:val="0"/>
                <w:szCs w:val="21"/>
              </w:rPr>
            </w:pPr>
            <w:r w:rsidRPr="00A15A70">
              <w:rPr>
                <w:rFonts w:ascii="宋体" w:eastAsia="宋体" w:hAnsi="宋体" w:cs="宋体" w:hint="eastAsia"/>
                <w:b/>
                <w:bCs/>
                <w:color w:val="0D0D0D" w:themeColor="text1" w:themeTint="F2"/>
                <w:kern w:val="0"/>
                <w:szCs w:val="21"/>
              </w:rPr>
              <w:t xml:space="preserve">　　　　　交通工具</w:t>
            </w:r>
          </w:p>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b/>
                <w:bCs/>
                <w:color w:val="0D0D0D" w:themeColor="text1" w:themeTint="F2"/>
                <w:kern w:val="0"/>
                <w:szCs w:val="21"/>
              </w:rPr>
              <w:t>级　别</w:t>
            </w:r>
          </w:p>
        </w:tc>
        <w:tc>
          <w:tcPr>
            <w:tcW w:w="208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b/>
                <w:bCs/>
                <w:color w:val="0D0D0D" w:themeColor="text1" w:themeTint="F2"/>
                <w:kern w:val="0"/>
                <w:szCs w:val="21"/>
              </w:rPr>
              <w:t>火车（含高铁、动车、全列软席列车）</w:t>
            </w:r>
          </w:p>
        </w:tc>
        <w:tc>
          <w:tcPr>
            <w:tcW w:w="117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b/>
                <w:bCs/>
                <w:color w:val="0D0D0D" w:themeColor="text1" w:themeTint="F2"/>
                <w:kern w:val="0"/>
                <w:szCs w:val="21"/>
              </w:rPr>
              <w:t>轮船（不包括旅游船）</w:t>
            </w:r>
          </w:p>
        </w:tc>
        <w:tc>
          <w:tcPr>
            <w:tcW w:w="85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b/>
                <w:bCs/>
                <w:color w:val="0D0D0D" w:themeColor="text1" w:themeTint="F2"/>
                <w:kern w:val="0"/>
                <w:szCs w:val="21"/>
              </w:rPr>
              <w:t>飞机</w:t>
            </w:r>
          </w:p>
        </w:tc>
        <w:tc>
          <w:tcPr>
            <w:tcW w:w="169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b/>
                <w:bCs/>
                <w:color w:val="0D0D0D" w:themeColor="text1" w:themeTint="F2"/>
                <w:kern w:val="0"/>
                <w:szCs w:val="21"/>
              </w:rPr>
              <w:t>其他交通工具（不包括出租小汽车）</w:t>
            </w:r>
          </w:p>
        </w:tc>
      </w:tr>
      <w:tr w:rsidR="00A15A70" w:rsidRPr="00A15A70" w:rsidTr="00A15A70">
        <w:trPr>
          <w:tblCellSpacing w:w="0" w:type="dxa"/>
          <w:jc w:val="center"/>
        </w:trPr>
        <w:tc>
          <w:tcPr>
            <w:tcW w:w="265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lastRenderedPageBreak/>
              <w:t>省部级及相当职务人员</w:t>
            </w:r>
          </w:p>
        </w:tc>
        <w:tc>
          <w:tcPr>
            <w:tcW w:w="208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火车软席（软座、软卧），高铁/动车商务座，全列软席列车一等软座</w:t>
            </w:r>
          </w:p>
        </w:tc>
        <w:tc>
          <w:tcPr>
            <w:tcW w:w="117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一等舱</w:t>
            </w:r>
          </w:p>
        </w:tc>
        <w:tc>
          <w:tcPr>
            <w:tcW w:w="85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头等舱</w:t>
            </w:r>
          </w:p>
        </w:tc>
        <w:tc>
          <w:tcPr>
            <w:tcW w:w="169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凭据报销</w:t>
            </w:r>
          </w:p>
        </w:tc>
      </w:tr>
      <w:tr w:rsidR="00A15A70" w:rsidRPr="00A15A70" w:rsidTr="00A15A70">
        <w:trPr>
          <w:tblCellSpacing w:w="0" w:type="dxa"/>
          <w:jc w:val="center"/>
        </w:trPr>
        <w:tc>
          <w:tcPr>
            <w:tcW w:w="265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厅局级及相当职务人员</w:t>
            </w:r>
          </w:p>
        </w:tc>
        <w:tc>
          <w:tcPr>
            <w:tcW w:w="208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火车软席（软座、软卧），高铁/动车一等座，全列软席列车一等软座</w:t>
            </w:r>
          </w:p>
        </w:tc>
        <w:tc>
          <w:tcPr>
            <w:tcW w:w="117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二等舱</w:t>
            </w:r>
          </w:p>
        </w:tc>
        <w:tc>
          <w:tcPr>
            <w:tcW w:w="85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经济舱</w:t>
            </w:r>
          </w:p>
        </w:tc>
        <w:tc>
          <w:tcPr>
            <w:tcW w:w="169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凭据报销</w:t>
            </w:r>
          </w:p>
        </w:tc>
      </w:tr>
      <w:tr w:rsidR="00A15A70" w:rsidRPr="00A15A70" w:rsidTr="00A15A70">
        <w:trPr>
          <w:tblCellSpacing w:w="0" w:type="dxa"/>
          <w:jc w:val="center"/>
        </w:trPr>
        <w:tc>
          <w:tcPr>
            <w:tcW w:w="265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其余人员</w:t>
            </w:r>
          </w:p>
        </w:tc>
        <w:tc>
          <w:tcPr>
            <w:tcW w:w="208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火车硬席（硬座、硬卧），高铁/动车二等座、全列软席列车二等软座</w:t>
            </w:r>
          </w:p>
        </w:tc>
        <w:tc>
          <w:tcPr>
            <w:tcW w:w="1170"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三等舱</w:t>
            </w:r>
          </w:p>
        </w:tc>
        <w:tc>
          <w:tcPr>
            <w:tcW w:w="85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经济舱</w:t>
            </w:r>
          </w:p>
        </w:tc>
        <w:tc>
          <w:tcPr>
            <w:tcW w:w="1695" w:type="dxa"/>
            <w:tcBorders>
              <w:top w:val="outset" w:sz="6" w:space="0" w:color="auto"/>
              <w:left w:val="outset" w:sz="6" w:space="0" w:color="auto"/>
              <w:bottom w:val="outset" w:sz="6" w:space="0" w:color="auto"/>
              <w:right w:val="outset" w:sz="6" w:space="0" w:color="auto"/>
            </w:tcBorders>
            <w:shd w:val="clear" w:color="auto" w:fill="FEFEFE"/>
            <w:vAlign w:val="center"/>
            <w:hideMark/>
          </w:tcPr>
          <w:p w:rsidR="00A15A70" w:rsidRPr="00A15A70" w:rsidRDefault="00A15A70" w:rsidP="00A15A70">
            <w:pPr>
              <w:widowControl/>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凭据报销</w:t>
            </w:r>
          </w:p>
        </w:tc>
      </w:tr>
    </w:tbl>
    <w:p w:rsidR="00A15A70" w:rsidRPr="00A15A70" w:rsidRDefault="00A15A70" w:rsidP="00A15A70">
      <w:pPr>
        <w:widowControl/>
        <w:shd w:val="clear" w:color="auto" w:fill="FEFEFE"/>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t>省部级及相当职务的人员出差，因工作需要，随行一人可乘坐同等级交通工具。</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未按规定等级乘坐交通工具的，超支部分由个人自理。</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第八条  到出差目的地有多种交通工具可选择时，出差人员在不影响公务、确保安全的前提下，应当选乘经济便捷的交通工具。</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第九条  乘坐飞机的，民航发展基金、燃油附加费，以及出差人员赴机场、火车站等发生的大巴、地铁等交通费用，可以凭据报销。</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第十条   乘坐飞机、火车、轮船等交通工具的，每</w:t>
      </w:r>
      <w:proofErr w:type="gramStart"/>
      <w:r w:rsidRPr="00A15A70">
        <w:rPr>
          <w:rFonts w:ascii="宋体" w:eastAsia="宋体" w:hAnsi="宋体" w:cs="宋体" w:hint="eastAsia"/>
          <w:color w:val="0D0D0D" w:themeColor="text1" w:themeTint="F2"/>
          <w:kern w:val="0"/>
          <w:szCs w:val="21"/>
        </w:rPr>
        <w:t>人次可以</w:t>
      </w:r>
      <w:proofErr w:type="gramEnd"/>
      <w:r w:rsidRPr="00A15A70">
        <w:rPr>
          <w:rFonts w:ascii="宋体" w:eastAsia="宋体" w:hAnsi="宋体" w:cs="宋体" w:hint="eastAsia"/>
          <w:color w:val="0D0D0D" w:themeColor="text1" w:themeTint="F2"/>
          <w:kern w:val="0"/>
          <w:szCs w:val="21"/>
        </w:rPr>
        <w:t>购买交通意外保险一份。所在单位统一购买交通意外保险的，不再重复购买。</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第三章 住宿费</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第十一条  住宿费是指工作人员因公出</w:t>
      </w:r>
      <w:proofErr w:type="gramStart"/>
      <w:r w:rsidRPr="00A15A70">
        <w:rPr>
          <w:rFonts w:ascii="宋体" w:eastAsia="宋体" w:hAnsi="宋体" w:cs="宋体" w:hint="eastAsia"/>
          <w:color w:val="0D0D0D" w:themeColor="text1" w:themeTint="F2"/>
          <w:kern w:val="0"/>
          <w:szCs w:val="21"/>
        </w:rPr>
        <w:t>差期间</w:t>
      </w:r>
      <w:proofErr w:type="gramEnd"/>
      <w:r w:rsidRPr="00A15A70">
        <w:rPr>
          <w:rFonts w:ascii="宋体" w:eastAsia="宋体" w:hAnsi="宋体" w:cs="宋体" w:hint="eastAsia"/>
          <w:color w:val="0D0D0D" w:themeColor="text1" w:themeTint="F2"/>
          <w:kern w:val="0"/>
          <w:szCs w:val="21"/>
        </w:rPr>
        <w:t>入住宾馆（包括饭店、招待所，下同）发生的房租费用。</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第十二条  住宿费按出差自然(日历)天数计算。自治区各单位工作人员出差住宿费依照财政部制定的分地区住宿费限额标准执行（详见附表）。</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对于住宿价格季节性变化明显的城市，住宿费限额标准在旺季可适当上浮一定比例，具体规定待报财政部后另行发布。</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第十三条  省部级及相当职务人员住普通套间，厅局级以下人员住单间或标准间。</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第十四条  出差人员应当在职务级别对应的住宿费标准限额内，选择安全、经济、便捷的宾馆住宿。</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p>
    <w:p w:rsidR="00A15A70" w:rsidRPr="00A15A70" w:rsidRDefault="00A15A70" w:rsidP="00A15A70">
      <w:pPr>
        <w:widowControl/>
        <w:shd w:val="clear" w:color="auto" w:fill="FEFEFE"/>
        <w:spacing w:line="360" w:lineRule="atLeast"/>
        <w:jc w:val="left"/>
        <w:rPr>
          <w:rFonts w:ascii="宋体" w:eastAsia="宋体" w:hAnsi="宋体" w:cs="宋体"/>
          <w:color w:val="0D0D0D" w:themeColor="text1" w:themeTint="F2"/>
          <w:kern w:val="0"/>
          <w:szCs w:val="21"/>
        </w:rPr>
      </w:pPr>
      <w:r w:rsidRPr="00A15A70">
        <w:rPr>
          <w:rFonts w:ascii="宋体" w:eastAsia="宋体" w:hAnsi="宋体" w:cs="宋体" w:hint="eastAsia"/>
          <w:color w:val="0D0D0D" w:themeColor="text1" w:themeTint="F2"/>
          <w:kern w:val="0"/>
          <w:szCs w:val="21"/>
        </w:rPr>
        <w:lastRenderedPageBreak/>
        <w:t>第四章 伙食补助费</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第十五条  伙食补助费是指对工作人员在因公出</w:t>
      </w:r>
      <w:proofErr w:type="gramStart"/>
      <w:r w:rsidRPr="00A15A70">
        <w:rPr>
          <w:rFonts w:ascii="宋体" w:eastAsia="宋体" w:hAnsi="宋体" w:cs="宋体" w:hint="eastAsia"/>
          <w:color w:val="0D0D0D" w:themeColor="text1" w:themeTint="F2"/>
          <w:kern w:val="0"/>
          <w:szCs w:val="21"/>
        </w:rPr>
        <w:t>差期间</w:t>
      </w:r>
      <w:proofErr w:type="gramEnd"/>
      <w:r w:rsidRPr="00A15A70">
        <w:rPr>
          <w:rFonts w:ascii="宋体" w:eastAsia="宋体" w:hAnsi="宋体" w:cs="宋体" w:hint="eastAsia"/>
          <w:color w:val="0D0D0D" w:themeColor="text1" w:themeTint="F2"/>
          <w:kern w:val="0"/>
          <w:szCs w:val="21"/>
        </w:rPr>
        <w:t>给予的伙食补助费用。</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第十六条  伙食补助费按出差自然(日历)天数计算，按规定标准包干使用。</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第十七条  自治区各单位工作人员区外出差依照财政部制定的分地区伙食补助费标准执行（具体标准见附表）。区内出差伙食补助费执行统一标准，按每人每天100元包干使用。</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第十八条  出差人员应当自行用餐。凡由接待单位统一安排用餐的，应当向接待单位交纳伙食费。接待单位应当按照有关财务会计制度的规定代收费用、出具相关证明给出差人员并将款项支付给伙食提供方进行结算。</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第五章 市内交通费</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第十九条  市内交通费是指工作人员因公出</w:t>
      </w:r>
      <w:proofErr w:type="gramStart"/>
      <w:r w:rsidRPr="00A15A70">
        <w:rPr>
          <w:rFonts w:ascii="宋体" w:eastAsia="宋体" w:hAnsi="宋体" w:cs="宋体" w:hint="eastAsia"/>
          <w:color w:val="0D0D0D" w:themeColor="text1" w:themeTint="F2"/>
          <w:kern w:val="0"/>
          <w:szCs w:val="21"/>
        </w:rPr>
        <w:t>差期间</w:t>
      </w:r>
      <w:proofErr w:type="gramEnd"/>
      <w:r w:rsidRPr="00A15A70">
        <w:rPr>
          <w:rFonts w:ascii="宋体" w:eastAsia="宋体" w:hAnsi="宋体" w:cs="宋体" w:hint="eastAsia"/>
          <w:color w:val="0D0D0D" w:themeColor="text1" w:themeTint="F2"/>
          <w:kern w:val="0"/>
          <w:szCs w:val="21"/>
        </w:rPr>
        <w:t>发生的市内交通费用。</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第二十条  自治区各单位工作人员出差，市内交通费按出差自然(日历)天数计算，每人每天80元包干使用。</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第二十一条  出差人员由接待单位或其他单位提供交通工具的，应向接待单位或其他单位交纳相关费用。接待单位应当按照有关财务会计制度的规定代收费用、出具相关证明给出差人员并将款项及时支付给交通工具提供方进行结算。</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出差人员因公临时出差由单位派车的，不再另行补助市内交通费。</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第六章  报销管理</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第二十二条  出差人员应当严格按规定开支差旅费，费用由所在单位承担，不得向下级单位、企业或其他单位转嫁。</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 </w:t>
      </w:r>
      <w:r w:rsidRPr="00A15A70">
        <w:rPr>
          <w:rFonts w:ascii="宋体" w:eastAsia="宋体" w:hAnsi="宋体" w:cs="宋体" w:hint="eastAsia"/>
          <w:color w:val="0D0D0D" w:themeColor="text1" w:themeTint="F2"/>
          <w:kern w:val="0"/>
          <w:szCs w:val="21"/>
        </w:rPr>
        <w:br/>
        <w:t>第二十三条  城市间交通费按乘坐交通工具的等级凭据报销，订票费、经批准发生的签转或退票费、交通意外保险费凭据报销。出差往返机场、火车站等发生的大巴、地铁等交通费用凭据报销。</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住宿费在标准限额之内凭发票据实报销。</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伙食补助费按出差目的地的标准报销，在途期间的伙食补助费按当天最后到达目的地的标准报销。</w:t>
      </w:r>
      <w:r w:rsidRPr="004A395D">
        <w:rPr>
          <w:rFonts w:ascii="宋体" w:eastAsia="宋体" w:hAnsi="宋体" w:cs="宋体" w:hint="eastAsia"/>
          <w:color w:val="0D0D0D" w:themeColor="text1" w:themeTint="F2"/>
          <w:kern w:val="0"/>
        </w:rPr>
        <w:t> </w:t>
      </w:r>
      <w:r w:rsidRPr="00A15A70">
        <w:rPr>
          <w:rFonts w:ascii="宋体" w:eastAsia="宋体" w:hAnsi="宋体" w:cs="宋体" w:hint="eastAsia"/>
          <w:color w:val="0D0D0D" w:themeColor="text1" w:themeTint="F2"/>
          <w:kern w:val="0"/>
          <w:szCs w:val="21"/>
        </w:rPr>
        <w:br/>
        <w:t>市内交通费按规定标准报销。</w:t>
      </w:r>
      <w:r w:rsidRPr="004A395D">
        <w:rPr>
          <w:rFonts w:ascii="宋体" w:eastAsia="宋体" w:hAnsi="宋体" w:cs="宋体" w:hint="eastAsia"/>
          <w:color w:val="0D0D0D" w:themeColor="text1" w:themeTint="F2"/>
          <w:kern w:val="0"/>
        </w:rPr>
        <w:t> </w:t>
      </w:r>
    </w:p>
    <w:p w:rsidR="00BD3C06" w:rsidRPr="004A395D" w:rsidRDefault="00A15A70" w:rsidP="00A15A70">
      <w:pPr>
        <w:rPr>
          <w:color w:val="0D0D0D" w:themeColor="text1" w:themeTint="F2"/>
        </w:rPr>
      </w:pP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未按规定开支差旅费的，超支部分由个人自理。</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第二十四条  工作人员出差结束后应当及时办理报销手续。差旅费报销时应当提供出差审批单、机票、车票、住宿费发票等凭证。</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lastRenderedPageBreak/>
        <w:t>住宿费、机票支出等应按规定使用公务卡结算。</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实际发生住宿而无住宿费发票的，不得报销住宿费以及城市间交通费、伙食补助费和市内交通费。</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出差当天往返的，按本办法规定的标准报销城市间交通费、伙食补助费和市内交通费。</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单位派车出差的不报销城市间交通费和市内交通费。</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第二十五条  自治区各单位财务部门应当严格按规定审核差旅费开支，对未经批准出差，以及超范围、超标准开支的费用不予报销。</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第七章 监督问责</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第二十六条 自治区各单位应加强对本单位工作人员出差活动和经费报销的内控管理，对本单位出差审批制度、差旅费预算及规模控制负责，相关领导、财务人员等对差旅费报销进行审核把关，确保票据来源合法，内容真实完整、合</w:t>
      </w:r>
      <w:proofErr w:type="gramStart"/>
      <w:r w:rsidRPr="004A395D">
        <w:rPr>
          <w:rFonts w:ascii="宋体" w:eastAsia="宋体" w:hAnsi="宋体" w:cs="宋体" w:hint="eastAsia"/>
          <w:color w:val="0D0D0D" w:themeColor="text1" w:themeTint="F2"/>
          <w:kern w:val="0"/>
          <w:szCs w:val="21"/>
          <w:shd w:val="clear" w:color="auto" w:fill="FEFEFE"/>
        </w:rPr>
        <w:t>规</w:t>
      </w:r>
      <w:proofErr w:type="gramEnd"/>
      <w:r w:rsidRPr="004A395D">
        <w:rPr>
          <w:rFonts w:ascii="宋体" w:eastAsia="宋体" w:hAnsi="宋体" w:cs="宋体" w:hint="eastAsia"/>
          <w:color w:val="0D0D0D" w:themeColor="text1" w:themeTint="F2"/>
          <w:kern w:val="0"/>
          <w:szCs w:val="21"/>
          <w:shd w:val="clear" w:color="auto" w:fill="FEFEFE"/>
        </w:rPr>
        <w:t>。对未经批准擅自出差、不按规定开支和报销差旅费的人员进行严肃处理。</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一级预算单位应当强化对所属预算单位的监督检查，发现问题及时处理，重大问题向财政厅报告。</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自治区各单位应当根据本办法，结合单位实际情况制定具体操作规定。</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第二十七条  财政厅会同有关部门对自治区单位差旅费管理和使用情况进行监督检查。主要内容包括：</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（一）单位</w:t>
      </w:r>
      <w:proofErr w:type="gramStart"/>
      <w:r w:rsidRPr="004A395D">
        <w:rPr>
          <w:rFonts w:ascii="宋体" w:eastAsia="宋体" w:hAnsi="宋体" w:cs="宋体" w:hint="eastAsia"/>
          <w:color w:val="0D0D0D" w:themeColor="text1" w:themeTint="F2"/>
          <w:kern w:val="0"/>
          <w:szCs w:val="21"/>
          <w:shd w:val="clear" w:color="auto" w:fill="FEFEFE"/>
        </w:rPr>
        <w:t>差旅审批</w:t>
      </w:r>
      <w:proofErr w:type="gramEnd"/>
      <w:r w:rsidRPr="004A395D">
        <w:rPr>
          <w:rFonts w:ascii="宋体" w:eastAsia="宋体" w:hAnsi="宋体" w:cs="宋体" w:hint="eastAsia"/>
          <w:color w:val="0D0D0D" w:themeColor="text1" w:themeTint="F2"/>
          <w:kern w:val="0"/>
          <w:szCs w:val="21"/>
          <w:shd w:val="clear" w:color="auto" w:fill="FEFEFE"/>
        </w:rPr>
        <w:t>制度是否健全，出差活动是否按规定履行审批手续；</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（二）差旅费开支范围和开支标准是否符合规定；</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（三）差旅费报销是否符合规定；</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（四）是否向下级单位、企业或其他单位转嫁差旅费；</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（五）差旅费管理和使用的其他情况。</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第二十八条  出差人员不得向接待单位提出正常公务活动以外的要求，不得在出差期间接受违反规定用公款支付的宴请、游览和非工作需要的参观，不得接受礼品、礼金和土特产品等。</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第二十九条  违反本办法规定，有下列行为之一的，依法依规追究相关单位和人员的责任：</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（一）单位无出差审批制度或</w:t>
      </w:r>
      <w:proofErr w:type="gramStart"/>
      <w:r w:rsidRPr="004A395D">
        <w:rPr>
          <w:rFonts w:ascii="宋体" w:eastAsia="宋体" w:hAnsi="宋体" w:cs="宋体" w:hint="eastAsia"/>
          <w:color w:val="0D0D0D" w:themeColor="text1" w:themeTint="F2"/>
          <w:kern w:val="0"/>
          <w:szCs w:val="21"/>
          <w:shd w:val="clear" w:color="auto" w:fill="FEFEFE"/>
        </w:rPr>
        <w:t>差旅审批</w:t>
      </w:r>
      <w:proofErr w:type="gramEnd"/>
      <w:r w:rsidRPr="004A395D">
        <w:rPr>
          <w:rFonts w:ascii="宋体" w:eastAsia="宋体" w:hAnsi="宋体" w:cs="宋体" w:hint="eastAsia"/>
          <w:color w:val="0D0D0D" w:themeColor="text1" w:themeTint="F2"/>
          <w:kern w:val="0"/>
          <w:szCs w:val="21"/>
          <w:shd w:val="clear" w:color="auto" w:fill="FEFEFE"/>
        </w:rPr>
        <w:t>控制不严的；</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（二）虚报冒领差旅费的；</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（三）擅自扩大差旅费开支范围，擅自提高开支标准的；</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（四）不按规定报销差旅费的；</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（五）转嫁差旅费的；</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（六）其他违反本办法行为的。 </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有前款所</w:t>
      </w:r>
      <w:proofErr w:type="gramStart"/>
      <w:r w:rsidRPr="004A395D">
        <w:rPr>
          <w:rFonts w:ascii="宋体" w:eastAsia="宋体" w:hAnsi="宋体" w:cs="宋体" w:hint="eastAsia"/>
          <w:color w:val="0D0D0D" w:themeColor="text1" w:themeTint="F2"/>
          <w:kern w:val="0"/>
          <w:szCs w:val="21"/>
          <w:shd w:val="clear" w:color="auto" w:fill="FEFEFE"/>
        </w:rPr>
        <w:t>列行</w:t>
      </w:r>
      <w:proofErr w:type="gramEnd"/>
      <w:r w:rsidRPr="004A395D">
        <w:rPr>
          <w:rFonts w:ascii="宋体" w:eastAsia="宋体" w:hAnsi="宋体" w:cs="宋体" w:hint="eastAsia"/>
          <w:color w:val="0D0D0D" w:themeColor="text1" w:themeTint="F2"/>
          <w:kern w:val="0"/>
          <w:szCs w:val="21"/>
          <w:shd w:val="clear" w:color="auto" w:fill="FEFEFE"/>
        </w:rPr>
        <w:t>为之一的，由财政厅会同有关部门责令改正，违规资金应予以追回，并视情况予以通报。对直接责任人和相关负责人，按干部管理权限依法给予行政处分。涉嫌违法的，移送司法机关处理。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第八章 附 则</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第三十条  工作人员外出参加会议、培训，举办单位统一安排食宿的，会议、培训期间的食宿费和市内交通费用由会议、培训举办单位按规定统一开支；往返会议、培训地点的差旅费由所在单位按本办法有关规定报销。</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lastRenderedPageBreak/>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自治区各单位工作人员因公出国（境）境内城市间交通费、住宿费、伙食补助费、市内交通费等按本办法规定报销。因公出国（境）境外的食宿交通费，按《广西壮族自治区本级党政机关因公出国（境）经费管理办法》规定执行。</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第三十一条  不参照公务员法管理的自治区事业单位参照本办法执行。</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第三十二条  本办法的具体应用问题由财政厅负责解释。</w:t>
      </w:r>
      <w:r w:rsidRPr="004A395D">
        <w:rPr>
          <w:rFonts w:ascii="宋体" w:eastAsia="宋体" w:hAnsi="宋体" w:cs="宋体" w:hint="eastAsia"/>
          <w:color w:val="0D0D0D" w:themeColor="text1" w:themeTint="F2"/>
          <w:kern w:val="0"/>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 </w:t>
      </w:r>
      <w:r w:rsidRPr="004A395D">
        <w:rPr>
          <w:rFonts w:ascii="宋体" w:eastAsia="宋体" w:hAnsi="宋体" w:cs="宋体" w:hint="eastAsia"/>
          <w:color w:val="0D0D0D" w:themeColor="text1" w:themeTint="F2"/>
          <w:kern w:val="0"/>
          <w:szCs w:val="21"/>
        </w:rPr>
        <w:br/>
      </w:r>
      <w:r w:rsidRPr="004A395D">
        <w:rPr>
          <w:rFonts w:ascii="宋体" w:eastAsia="宋体" w:hAnsi="宋体" w:cs="宋体" w:hint="eastAsia"/>
          <w:color w:val="0D0D0D" w:themeColor="text1" w:themeTint="F2"/>
          <w:kern w:val="0"/>
          <w:szCs w:val="21"/>
          <w:shd w:val="clear" w:color="auto" w:fill="FEFEFE"/>
        </w:rPr>
        <w:t>第三十三条  本办法自印发之日起实行。财政厅《关于印发&lt;自治区本级国家机关和事业单位差旅费管理办法&gt;的通知》(</w:t>
      </w:r>
      <w:proofErr w:type="gramStart"/>
      <w:r w:rsidRPr="004A395D">
        <w:rPr>
          <w:rFonts w:ascii="宋体" w:eastAsia="宋体" w:hAnsi="宋体" w:cs="宋体" w:hint="eastAsia"/>
          <w:color w:val="0D0D0D" w:themeColor="text1" w:themeTint="F2"/>
          <w:kern w:val="0"/>
          <w:szCs w:val="21"/>
          <w:shd w:val="clear" w:color="auto" w:fill="FEFEFE"/>
        </w:rPr>
        <w:t>桂财行〔2007〕</w:t>
      </w:r>
      <w:proofErr w:type="gramEnd"/>
      <w:r w:rsidRPr="004A395D">
        <w:rPr>
          <w:rFonts w:ascii="宋体" w:eastAsia="宋体" w:hAnsi="宋体" w:cs="宋体" w:hint="eastAsia"/>
          <w:color w:val="0D0D0D" w:themeColor="text1" w:themeTint="F2"/>
          <w:kern w:val="0"/>
          <w:szCs w:val="21"/>
          <w:shd w:val="clear" w:color="auto" w:fill="FEFEFE"/>
        </w:rPr>
        <w:t>44号)同时废止,过去有过规定与本办法规定不一致的，以本办法规定为准。</w:t>
      </w:r>
    </w:p>
    <w:sectPr w:rsidR="00BD3C06" w:rsidRPr="004A395D" w:rsidSect="00BD3C0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15A70"/>
    <w:rsid w:val="000E2AC9"/>
    <w:rsid w:val="003D14A4"/>
    <w:rsid w:val="004A395D"/>
    <w:rsid w:val="00910E51"/>
    <w:rsid w:val="00A15A70"/>
    <w:rsid w:val="00A375D1"/>
    <w:rsid w:val="00BD3C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5D1"/>
    <w:pPr>
      <w:widowControl w:val="0"/>
      <w:jc w:val="both"/>
    </w:pPr>
  </w:style>
  <w:style w:type="paragraph" w:styleId="1">
    <w:name w:val="heading 1"/>
    <w:basedOn w:val="a"/>
    <w:link w:val="1Char"/>
    <w:uiPriority w:val="9"/>
    <w:qFormat/>
    <w:rsid w:val="00A375D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75D1"/>
    <w:rPr>
      <w:rFonts w:ascii="宋体" w:eastAsia="宋体" w:hAnsi="宋体" w:cs="宋体"/>
      <w:b/>
      <w:bCs/>
      <w:kern w:val="36"/>
      <w:sz w:val="48"/>
      <w:szCs w:val="48"/>
    </w:rPr>
  </w:style>
  <w:style w:type="character" w:styleId="a3">
    <w:name w:val="Strong"/>
    <w:basedOn w:val="a0"/>
    <w:uiPriority w:val="22"/>
    <w:qFormat/>
    <w:rsid w:val="00A375D1"/>
    <w:rPr>
      <w:b/>
      <w:bCs/>
    </w:rPr>
  </w:style>
  <w:style w:type="paragraph" w:styleId="a4">
    <w:name w:val="Normal (Web)"/>
    <w:basedOn w:val="a"/>
    <w:uiPriority w:val="99"/>
    <w:unhideWhenUsed/>
    <w:rsid w:val="00A15A70"/>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15A70"/>
  </w:style>
</w:styles>
</file>

<file path=word/webSettings.xml><?xml version="1.0" encoding="utf-8"?>
<w:webSettings xmlns:r="http://schemas.openxmlformats.org/officeDocument/2006/relationships" xmlns:w="http://schemas.openxmlformats.org/wordprocessingml/2006/main">
  <w:divs>
    <w:div w:id="275991280">
      <w:bodyDiv w:val="1"/>
      <w:marLeft w:val="0"/>
      <w:marRight w:val="0"/>
      <w:marTop w:val="0"/>
      <w:marBottom w:val="0"/>
      <w:divBdr>
        <w:top w:val="none" w:sz="0" w:space="0" w:color="auto"/>
        <w:left w:val="none" w:sz="0" w:space="0" w:color="auto"/>
        <w:bottom w:val="none" w:sz="0" w:space="0" w:color="auto"/>
        <w:right w:val="none" w:sz="0" w:space="0" w:color="auto"/>
      </w:divBdr>
    </w:div>
    <w:div w:id="1059861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566</Words>
  <Characters>3228</Characters>
  <Application>Microsoft Office Word</Application>
  <DocSecurity>0</DocSecurity>
  <Lines>26</Lines>
  <Paragraphs>7</Paragraphs>
  <ScaleCrop>false</ScaleCrop>
  <Company>Microsoft</Company>
  <LinksUpToDate>false</LinksUpToDate>
  <CharactersWithSpaces>3787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xukangkang</dc:creator>
  <cp:keywords/>
  <dc:description/>
  <cp:lastModifiedBy>xukangkang</cp:lastModifiedBy>
  <cp:revision>2</cp:revision>
  <dcterms:created xsi:type="dcterms:W3CDTF">2014-09-24T08:06:00Z</dcterms:created>
  <dcterms:modified xsi:type="dcterms:W3CDTF">2014-09-24T08:07:00Z</dcterms:modified>
</cp:coreProperties>
</file>