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BA0" w:rsidRPr="00C96BA0" w:rsidRDefault="00C96BA0" w:rsidP="00C96BA0">
      <w:pPr>
        <w:widowControl/>
        <w:shd w:val="clear" w:color="auto" w:fill="FEFEFE"/>
        <w:spacing w:line="360" w:lineRule="atLeast"/>
        <w:jc w:val="center"/>
        <w:rPr>
          <w:rFonts w:ascii="宋体" w:eastAsia="宋体" w:hAnsi="宋体" w:cs="宋体"/>
          <w:color w:val="333333"/>
          <w:kern w:val="0"/>
          <w:szCs w:val="21"/>
        </w:rPr>
      </w:pPr>
      <w:r w:rsidRPr="00C96BA0">
        <w:rPr>
          <w:rFonts w:ascii="宋体" w:eastAsia="宋体" w:hAnsi="宋体" w:cs="宋体" w:hint="eastAsia"/>
          <w:color w:val="FF0000"/>
          <w:kern w:val="0"/>
          <w:szCs w:val="21"/>
        </w:rPr>
        <w:t>深圳市财政委员会深圳市发展和改革委员会关于减征免征我市部分行政事业性收费市级收入的通知</w:t>
      </w:r>
    </w:p>
    <w:p w:rsidR="00C96BA0" w:rsidRPr="00C96BA0" w:rsidRDefault="00C96BA0" w:rsidP="00C96BA0">
      <w:pPr>
        <w:widowControl/>
        <w:shd w:val="clear" w:color="auto" w:fill="FEFEFE"/>
        <w:spacing w:line="360" w:lineRule="atLeast"/>
        <w:jc w:val="center"/>
        <w:rPr>
          <w:rFonts w:ascii="宋体" w:eastAsia="宋体" w:hAnsi="宋体" w:cs="宋体" w:hint="eastAsia"/>
          <w:color w:val="333333"/>
          <w:kern w:val="0"/>
          <w:szCs w:val="21"/>
        </w:rPr>
      </w:pPr>
      <w:r w:rsidRPr="00C96BA0">
        <w:rPr>
          <w:rFonts w:ascii="宋体" w:eastAsia="宋体" w:hAnsi="宋体" w:cs="宋体" w:hint="eastAsia"/>
          <w:color w:val="0000FF"/>
          <w:kern w:val="0"/>
          <w:szCs w:val="21"/>
        </w:rPr>
        <w:t>深财资[2014]28号</w:t>
      </w:r>
      <w:r w:rsidRPr="00C96BA0">
        <w:rPr>
          <w:rFonts w:ascii="宋体" w:eastAsia="宋体" w:hAnsi="宋体" w:cs="宋体" w:hint="eastAsia"/>
          <w:color w:val="333333"/>
          <w:kern w:val="0"/>
          <w:szCs w:val="21"/>
        </w:rPr>
        <w:t>                               2014-8-21</w:t>
      </w:r>
    </w:p>
    <w:p w:rsidR="00C96BA0" w:rsidRPr="00C96BA0" w:rsidRDefault="00C96BA0" w:rsidP="00C96BA0">
      <w:pPr>
        <w:widowControl/>
        <w:shd w:val="clear" w:color="auto" w:fill="FEFEFE"/>
        <w:spacing w:line="360" w:lineRule="atLeast"/>
        <w:jc w:val="left"/>
        <w:rPr>
          <w:rFonts w:ascii="宋体" w:eastAsia="宋体" w:hAnsi="宋体" w:cs="宋体" w:hint="eastAsia"/>
          <w:color w:val="333333"/>
          <w:kern w:val="0"/>
          <w:szCs w:val="21"/>
        </w:rPr>
      </w:pPr>
      <w:r w:rsidRPr="00C96BA0">
        <w:rPr>
          <w:rFonts w:ascii="宋体" w:eastAsia="宋体" w:hAnsi="宋体" w:cs="宋体" w:hint="eastAsia"/>
          <w:color w:val="333333"/>
          <w:kern w:val="0"/>
          <w:szCs w:val="21"/>
        </w:rPr>
        <w:t>各有关单位：</w:t>
      </w:r>
      <w:r w:rsidRPr="00C96BA0">
        <w:rPr>
          <w:rFonts w:ascii="宋体" w:eastAsia="宋体" w:hAnsi="宋体" w:cs="宋体" w:hint="eastAsia"/>
          <w:color w:val="333333"/>
          <w:kern w:val="0"/>
          <w:szCs w:val="21"/>
        </w:rPr>
        <w:br/>
        <w:t xml:space="preserve">　　为贯彻落实《广东省财政厅 广东省发展和改革委员会关于免征中央 省设立的涉企行政事业性收费省级收入的通知》(粤财综[2014]89号)要求，切实减轻企业和社会负担，保障我市经济平稳增长，建设法治化、国际化城市，提升我市经济发展竞争力，经市政府同意，决定在全市范围内对所有企业减免中央、省设立的部分涉企和涉及民生的行政事业性收费项目的市级收入。现将有关事项通知如下：</w:t>
      </w:r>
      <w:r w:rsidRPr="00C96BA0">
        <w:rPr>
          <w:rFonts w:ascii="宋体" w:eastAsia="宋体" w:hAnsi="宋体" w:cs="宋体" w:hint="eastAsia"/>
          <w:color w:val="333333"/>
          <w:kern w:val="0"/>
          <w:szCs w:val="21"/>
        </w:rPr>
        <w:br/>
        <w:t xml:space="preserve">　　一、减征免征我市行政事业性收费市级收入的项目</w:t>
      </w:r>
    </w:p>
    <w:p w:rsidR="00C96BA0" w:rsidRPr="00C96BA0" w:rsidRDefault="00C96BA0" w:rsidP="00C96BA0">
      <w:pPr>
        <w:widowControl/>
        <w:shd w:val="clear" w:color="auto" w:fill="FEFEFE"/>
        <w:spacing w:line="360" w:lineRule="atLeast"/>
        <w:jc w:val="center"/>
        <w:rPr>
          <w:rFonts w:ascii="宋体" w:eastAsia="宋体" w:hAnsi="宋体" w:cs="宋体" w:hint="eastAsia"/>
          <w:color w:val="333333"/>
          <w:kern w:val="0"/>
          <w:szCs w:val="21"/>
        </w:rPr>
      </w:pPr>
      <w:r w:rsidRPr="00C96BA0">
        <w:rPr>
          <w:rFonts w:ascii="宋体" w:eastAsia="宋体" w:hAnsi="宋体" w:cs="宋体" w:hint="eastAsia"/>
          <w:color w:val="333333"/>
          <w:kern w:val="0"/>
          <w:szCs w:val="21"/>
        </w:rPr>
        <w:t xml:space="preserve">　　(</w:t>
      </w:r>
      <w:proofErr w:type="gramStart"/>
      <w:r w:rsidRPr="00C96BA0">
        <w:rPr>
          <w:rFonts w:ascii="宋体" w:eastAsia="宋体" w:hAnsi="宋体" w:cs="宋体" w:hint="eastAsia"/>
          <w:color w:val="333333"/>
          <w:kern w:val="0"/>
          <w:szCs w:val="21"/>
        </w:rPr>
        <w:t>一</w:t>
      </w:r>
      <w:proofErr w:type="gramEnd"/>
      <w:r w:rsidRPr="00C96BA0">
        <w:rPr>
          <w:rFonts w:ascii="宋体" w:eastAsia="宋体" w:hAnsi="宋体" w:cs="宋体" w:hint="eastAsia"/>
          <w:color w:val="333333"/>
          <w:kern w:val="0"/>
          <w:szCs w:val="21"/>
        </w:rPr>
        <w:t>)减征项目</w:t>
      </w:r>
    </w:p>
    <w:tbl>
      <w:tblPr>
        <w:tblW w:w="6210" w:type="dxa"/>
        <w:tblCellSpacing w:w="0" w:type="dxa"/>
        <w:shd w:val="clear" w:color="auto" w:fill="FEFEFE"/>
        <w:tblCellMar>
          <w:left w:w="0" w:type="dxa"/>
          <w:right w:w="0" w:type="dxa"/>
        </w:tblCellMar>
        <w:tblLook w:val="04A0"/>
      </w:tblPr>
      <w:tblGrid>
        <w:gridCol w:w="1080"/>
        <w:gridCol w:w="1380"/>
        <w:gridCol w:w="1425"/>
        <w:gridCol w:w="2325"/>
      </w:tblGrid>
      <w:tr w:rsidR="00C96BA0" w:rsidRPr="00C96BA0" w:rsidTr="00C96BA0">
        <w:trPr>
          <w:trHeight w:val="285"/>
          <w:tblCellSpacing w:w="0" w:type="dxa"/>
        </w:trPr>
        <w:tc>
          <w:tcPr>
            <w:tcW w:w="10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序号</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执收部门</w:t>
            </w:r>
          </w:p>
        </w:tc>
        <w:tc>
          <w:tcPr>
            <w:tcW w:w="14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收费项目</w:t>
            </w:r>
          </w:p>
        </w:tc>
        <w:tc>
          <w:tcPr>
            <w:tcW w:w="23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备注</w:t>
            </w:r>
          </w:p>
        </w:tc>
      </w:tr>
      <w:tr w:rsidR="00C96BA0" w:rsidRPr="00C96BA0" w:rsidTr="00C96BA0">
        <w:trPr>
          <w:trHeight w:val="45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市场和质量监管部门</w:t>
            </w:r>
          </w:p>
        </w:tc>
        <w:tc>
          <w:tcPr>
            <w:tcW w:w="14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组织机构代码证书收费</w:t>
            </w:r>
          </w:p>
        </w:tc>
        <w:tc>
          <w:tcPr>
            <w:tcW w:w="23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按30元/套(其中小</w:t>
            </w:r>
            <w:proofErr w:type="gramStart"/>
            <w:r w:rsidRPr="00C96BA0">
              <w:rPr>
                <w:rFonts w:ascii="宋体" w:eastAsia="宋体" w:hAnsi="宋体" w:cs="宋体" w:hint="eastAsia"/>
                <w:color w:val="333333"/>
                <w:kern w:val="0"/>
                <w:szCs w:val="21"/>
              </w:rPr>
              <w:t>微企业</w:t>
            </w:r>
            <w:proofErr w:type="gramEnd"/>
            <w:r w:rsidRPr="00C96BA0">
              <w:rPr>
                <w:rFonts w:ascii="宋体" w:eastAsia="宋体" w:hAnsi="宋体" w:cs="宋体" w:hint="eastAsia"/>
                <w:color w:val="333333"/>
                <w:kern w:val="0"/>
                <w:szCs w:val="21"/>
              </w:rPr>
              <w:t>按12元/套)征收</w:t>
            </w:r>
          </w:p>
        </w:tc>
      </w:tr>
      <w:tr w:rsidR="00C96BA0" w:rsidRPr="00C96BA0" w:rsidTr="00C96BA0">
        <w:trPr>
          <w:trHeight w:val="45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2</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市应急办</w:t>
            </w:r>
          </w:p>
        </w:tc>
        <w:tc>
          <w:tcPr>
            <w:tcW w:w="14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防空地下室易地建设费</w:t>
            </w:r>
          </w:p>
        </w:tc>
        <w:tc>
          <w:tcPr>
            <w:tcW w:w="23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按原标准的92%征收</w:t>
            </w:r>
          </w:p>
        </w:tc>
      </w:tr>
      <w:tr w:rsidR="00C96BA0" w:rsidRPr="00C96BA0" w:rsidTr="00C96BA0">
        <w:trPr>
          <w:trHeight w:val="90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3</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贸易促进部门</w:t>
            </w:r>
          </w:p>
        </w:tc>
        <w:tc>
          <w:tcPr>
            <w:tcW w:w="14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货物原产地证明书费</w:t>
            </w:r>
          </w:p>
        </w:tc>
        <w:tc>
          <w:tcPr>
            <w:tcW w:w="23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根据财综〔2014〕24号规定，2014年5月1日至12月31日免征。从2015年1月1日起，则按5.25元/份征收</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4</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规划国土部门</w:t>
            </w:r>
          </w:p>
        </w:tc>
        <w:tc>
          <w:tcPr>
            <w:tcW w:w="14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矿产资源补偿费</w:t>
            </w:r>
          </w:p>
        </w:tc>
        <w:tc>
          <w:tcPr>
            <w:tcW w:w="232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按原标准的50%征收</w:t>
            </w:r>
          </w:p>
        </w:tc>
      </w:tr>
    </w:tbl>
    <w:p w:rsidR="00C96BA0" w:rsidRPr="00C96BA0" w:rsidRDefault="00C96BA0" w:rsidP="00C96BA0">
      <w:pPr>
        <w:widowControl/>
        <w:jc w:val="left"/>
        <w:rPr>
          <w:rFonts w:ascii="宋体" w:eastAsia="宋体" w:hAnsi="宋体" w:cs="宋体" w:hint="eastAsia"/>
          <w:kern w:val="0"/>
          <w:sz w:val="24"/>
          <w:szCs w:val="24"/>
        </w:rPr>
      </w:pPr>
      <w:r w:rsidRPr="00C96BA0">
        <w:rPr>
          <w:rFonts w:ascii="宋体" w:eastAsia="宋体" w:hAnsi="宋体" w:cs="宋体" w:hint="eastAsia"/>
          <w:color w:val="333333"/>
          <w:kern w:val="0"/>
          <w:szCs w:val="21"/>
        </w:rPr>
        <w:br/>
      </w:r>
    </w:p>
    <w:p w:rsidR="00C96BA0" w:rsidRPr="00C96BA0" w:rsidRDefault="00C96BA0" w:rsidP="00C96BA0">
      <w:pPr>
        <w:widowControl/>
        <w:shd w:val="clear" w:color="auto" w:fill="FEFEFE"/>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(二)免征项目</w:t>
      </w:r>
    </w:p>
    <w:tbl>
      <w:tblPr>
        <w:tblW w:w="6705" w:type="dxa"/>
        <w:tblCellSpacing w:w="0" w:type="dxa"/>
        <w:shd w:val="clear" w:color="auto" w:fill="FEFEFE"/>
        <w:tblCellMar>
          <w:left w:w="0" w:type="dxa"/>
          <w:right w:w="0" w:type="dxa"/>
        </w:tblCellMar>
        <w:tblLook w:val="04A0"/>
      </w:tblPr>
      <w:tblGrid>
        <w:gridCol w:w="1077"/>
        <w:gridCol w:w="1377"/>
        <w:gridCol w:w="2589"/>
        <w:gridCol w:w="1662"/>
      </w:tblGrid>
      <w:tr w:rsidR="00C96BA0" w:rsidRPr="00C96BA0" w:rsidTr="00C96BA0">
        <w:trPr>
          <w:trHeight w:val="285"/>
          <w:tblCellSpacing w:w="0" w:type="dxa"/>
        </w:trPr>
        <w:tc>
          <w:tcPr>
            <w:tcW w:w="10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序号</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执收部门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收费项目</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备注</w:t>
            </w:r>
          </w:p>
        </w:tc>
      </w:tr>
      <w:tr w:rsidR="00C96BA0" w:rsidRPr="00C96BA0" w:rsidTr="00C96BA0">
        <w:trPr>
          <w:trHeight w:val="42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公安部门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第二代居民身份证工本费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首办及换领免征，丢失补办不免</w:t>
            </w:r>
          </w:p>
        </w:tc>
      </w:tr>
      <w:tr w:rsidR="00C96BA0" w:rsidRPr="00C96BA0" w:rsidTr="00C96BA0">
        <w:trPr>
          <w:trHeight w:val="42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2</w:t>
            </w:r>
          </w:p>
        </w:tc>
        <w:tc>
          <w:tcPr>
            <w:tcW w:w="1380" w:type="dxa"/>
            <w:vMerge w:val="restart"/>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市场和质量监管部门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工业产品生产许可证收费(含审查费)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3</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药品检验费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42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4</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医疗器械、制药机械产品质量监督检验费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5</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GSP认证费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42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6</w:t>
            </w:r>
          </w:p>
        </w:tc>
        <w:tc>
          <w:tcPr>
            <w:tcW w:w="1380" w:type="dxa"/>
            <w:vMerge w:val="restart"/>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人力资源和社会保障部门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社会保障(IC)卡工本费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首办及换领免征，丢失补办不免</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lastRenderedPageBreak/>
              <w:t>7</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保存人事关系及档案收费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8</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特种作业安全技术考试费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序号</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执收部门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收费项目</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备注</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9</w:t>
            </w:r>
          </w:p>
        </w:tc>
        <w:tc>
          <w:tcPr>
            <w:tcW w:w="1380" w:type="dxa"/>
            <w:vMerge w:val="restart"/>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经济贸易和信息化部门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畜禽及畜禽产品检疫费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10</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国内植物检疫费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42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11</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水</w:t>
            </w:r>
            <w:proofErr w:type="gramStart"/>
            <w:r w:rsidRPr="00C96BA0">
              <w:rPr>
                <w:rFonts w:ascii="宋体" w:eastAsia="宋体" w:hAnsi="宋体" w:cs="宋体" w:hint="eastAsia"/>
                <w:color w:val="333333"/>
                <w:kern w:val="0"/>
                <w:szCs w:val="21"/>
              </w:rPr>
              <w:t>务</w:t>
            </w:r>
            <w:proofErr w:type="gramEnd"/>
            <w:r w:rsidRPr="00C96BA0">
              <w:rPr>
                <w:rFonts w:ascii="宋体" w:eastAsia="宋体" w:hAnsi="宋体" w:cs="宋体" w:hint="eastAsia"/>
                <w:color w:val="333333"/>
                <w:kern w:val="0"/>
                <w:szCs w:val="21"/>
              </w:rPr>
              <w:t>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堤围防护费(河道工程修建维护管理费)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42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12</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城市管理部门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森林植物检疫费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420"/>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13</w:t>
            </w:r>
          </w:p>
        </w:tc>
        <w:tc>
          <w:tcPr>
            <w:tcW w:w="1380"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住房和建设部门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施工安全监督费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14</w:t>
            </w:r>
          </w:p>
        </w:tc>
        <w:tc>
          <w:tcPr>
            <w:tcW w:w="1380" w:type="dxa"/>
            <w:vMerge w:val="restart"/>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规划国土部门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渔业船舶和船用产品检验费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15</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无线电频率占用费(渔业船舶)</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16</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船舶港务费(渔业船舶)</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17</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土地登记费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18</w:t>
            </w:r>
          </w:p>
        </w:tc>
        <w:tc>
          <w:tcPr>
            <w:tcW w:w="1380" w:type="dxa"/>
            <w:vMerge w:val="restart"/>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卫生和人口计生部门</w:t>
            </w: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职业病诊断及鉴定费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19</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卫生监测费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r w:rsidR="00C96BA0" w:rsidRPr="00C96BA0" w:rsidTr="00C96BA0">
        <w:trPr>
          <w:trHeight w:val="285"/>
          <w:tblCellSpacing w:w="0" w:type="dxa"/>
        </w:trPr>
        <w:tc>
          <w:tcPr>
            <w:tcW w:w="0" w:type="auto"/>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20</w:t>
            </w:r>
          </w:p>
        </w:tc>
        <w:tc>
          <w:tcPr>
            <w:tcW w:w="0" w:type="auto"/>
            <w:vMerge/>
            <w:shd w:val="clear" w:color="auto" w:fill="FEFEFE"/>
            <w:vAlign w:val="center"/>
            <w:hideMark/>
          </w:tcPr>
          <w:p w:rsidR="00C96BA0" w:rsidRPr="00C96BA0" w:rsidRDefault="00C96BA0" w:rsidP="00C96BA0">
            <w:pPr>
              <w:widowControl/>
              <w:jc w:val="left"/>
              <w:rPr>
                <w:rFonts w:ascii="宋体" w:eastAsia="宋体" w:hAnsi="宋体" w:cs="宋体"/>
                <w:color w:val="333333"/>
                <w:kern w:val="0"/>
                <w:szCs w:val="21"/>
              </w:rPr>
            </w:pPr>
          </w:p>
        </w:tc>
        <w:tc>
          <w:tcPr>
            <w:tcW w:w="259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委托性卫生防疫服务费</w:t>
            </w:r>
          </w:p>
        </w:tc>
        <w:tc>
          <w:tcPr>
            <w:tcW w:w="1665" w:type="dxa"/>
            <w:shd w:val="clear" w:color="auto" w:fill="FEFEFE"/>
            <w:vAlign w:val="center"/>
            <w:hideMark/>
          </w:tcPr>
          <w:p w:rsidR="00C96BA0" w:rsidRPr="00C96BA0" w:rsidRDefault="00C96BA0" w:rsidP="00C96BA0">
            <w:pPr>
              <w:widowControl/>
              <w:spacing w:line="360" w:lineRule="atLeast"/>
              <w:jc w:val="left"/>
              <w:rPr>
                <w:rFonts w:ascii="宋体" w:eastAsia="宋体" w:hAnsi="宋体" w:cs="宋体"/>
                <w:color w:val="333333"/>
                <w:kern w:val="0"/>
                <w:szCs w:val="21"/>
              </w:rPr>
            </w:pPr>
            <w:r w:rsidRPr="00C96BA0">
              <w:rPr>
                <w:rFonts w:ascii="宋体" w:eastAsia="宋体" w:hAnsi="宋体" w:cs="宋体" w:hint="eastAsia"/>
                <w:color w:val="333333"/>
                <w:kern w:val="0"/>
                <w:szCs w:val="21"/>
              </w:rPr>
              <w:t xml:space="preserve">　　　</w:t>
            </w:r>
          </w:p>
        </w:tc>
      </w:tr>
    </w:tbl>
    <w:p w:rsidR="00C96BA0" w:rsidRPr="00C96BA0" w:rsidRDefault="00C96BA0" w:rsidP="00C96BA0">
      <w:pPr>
        <w:widowControl/>
        <w:shd w:val="clear" w:color="auto" w:fill="FEFEFE"/>
        <w:spacing w:line="360" w:lineRule="atLeast"/>
        <w:jc w:val="left"/>
        <w:rPr>
          <w:rFonts w:ascii="宋体" w:eastAsia="宋体" w:hAnsi="宋体" w:cs="宋体" w:hint="eastAsia"/>
          <w:color w:val="333333"/>
          <w:kern w:val="0"/>
          <w:szCs w:val="21"/>
        </w:rPr>
      </w:pPr>
      <w:r w:rsidRPr="00C96BA0">
        <w:rPr>
          <w:rFonts w:ascii="宋体" w:eastAsia="宋体" w:hAnsi="宋体" w:cs="宋体" w:hint="eastAsia"/>
          <w:color w:val="333333"/>
          <w:kern w:val="0"/>
          <w:szCs w:val="21"/>
        </w:rPr>
        <w:t xml:space="preserve">　 二、减征免征后涉及各相关部门和单位的经费保障</w:t>
      </w:r>
      <w:r w:rsidRPr="00C96BA0">
        <w:rPr>
          <w:rFonts w:ascii="宋体" w:eastAsia="宋体" w:hAnsi="宋体" w:cs="宋体" w:hint="eastAsia"/>
          <w:color w:val="333333"/>
          <w:kern w:val="0"/>
          <w:szCs w:val="21"/>
        </w:rPr>
        <w:br/>
        <w:t xml:space="preserve">　　各执收单位不得因减免收费而影响正常履行职责工作。减免收费后，各执收单位依法履行管理职能所需相关经费，由同级财政预算予以保障。减免收费后各相关部门和单位需通过转变职能压减机构编制，降低行政成本，按照厉行节约原则安排履职经费，切实减轻财政负担。</w:t>
      </w:r>
    </w:p>
    <w:p w:rsidR="00C96BA0" w:rsidRPr="00C96BA0" w:rsidRDefault="00C96BA0" w:rsidP="00C96BA0">
      <w:pPr>
        <w:widowControl/>
        <w:shd w:val="clear" w:color="auto" w:fill="FEFEFE"/>
        <w:spacing w:line="360" w:lineRule="atLeast"/>
        <w:jc w:val="left"/>
        <w:rPr>
          <w:rFonts w:ascii="宋体" w:eastAsia="宋体" w:hAnsi="宋体" w:cs="宋体" w:hint="eastAsia"/>
          <w:color w:val="333333"/>
          <w:kern w:val="0"/>
          <w:szCs w:val="21"/>
        </w:rPr>
      </w:pPr>
      <w:r w:rsidRPr="00C96BA0">
        <w:rPr>
          <w:rFonts w:ascii="宋体" w:eastAsia="宋体" w:hAnsi="宋体" w:cs="宋体" w:hint="eastAsia"/>
          <w:color w:val="333333"/>
          <w:kern w:val="0"/>
          <w:szCs w:val="21"/>
        </w:rPr>
        <w:t xml:space="preserve">　　三、实施时间及有关要求</w:t>
      </w:r>
      <w:r w:rsidRPr="00C96BA0">
        <w:rPr>
          <w:rFonts w:ascii="宋体" w:eastAsia="宋体" w:hAnsi="宋体" w:cs="宋体" w:hint="eastAsia"/>
          <w:color w:val="333333"/>
          <w:kern w:val="0"/>
          <w:szCs w:val="21"/>
        </w:rPr>
        <w:br/>
        <w:t xml:space="preserve">　　本次减征免征我市行政事业性收费市级收入自2014年9月1日起实施。各相关主管部门要督促本系统内相关执收单位认真落实本通知规定，不得以任何理由拖延或拒绝执行，不得以其他名目或转为经营服务性收费方式变相继续收费。请有关执收单位到</w:t>
      </w:r>
      <w:proofErr w:type="gramStart"/>
      <w:r w:rsidRPr="00C96BA0">
        <w:rPr>
          <w:rFonts w:ascii="宋体" w:eastAsia="宋体" w:hAnsi="宋体" w:cs="宋体" w:hint="eastAsia"/>
          <w:color w:val="333333"/>
          <w:kern w:val="0"/>
          <w:szCs w:val="21"/>
        </w:rPr>
        <w:t>市发改部门</w:t>
      </w:r>
      <w:proofErr w:type="gramEnd"/>
      <w:r w:rsidRPr="00C96BA0">
        <w:rPr>
          <w:rFonts w:ascii="宋体" w:eastAsia="宋体" w:hAnsi="宋体" w:cs="宋体" w:hint="eastAsia"/>
          <w:color w:val="333333"/>
          <w:kern w:val="0"/>
          <w:szCs w:val="21"/>
        </w:rPr>
        <w:t>换领《广东省收费许可证》(行政事业性收费)。</w:t>
      </w:r>
    </w:p>
    <w:p w:rsidR="00C96BA0" w:rsidRPr="00C96BA0" w:rsidRDefault="00C96BA0" w:rsidP="00C96BA0">
      <w:pPr>
        <w:widowControl/>
        <w:shd w:val="clear" w:color="auto" w:fill="FEFEFE"/>
        <w:spacing w:line="360" w:lineRule="atLeast"/>
        <w:jc w:val="left"/>
        <w:rPr>
          <w:rFonts w:ascii="宋体" w:eastAsia="宋体" w:hAnsi="宋体" w:cs="宋体" w:hint="eastAsia"/>
          <w:color w:val="333333"/>
          <w:kern w:val="0"/>
          <w:szCs w:val="21"/>
        </w:rPr>
      </w:pPr>
      <w:r w:rsidRPr="00C96BA0">
        <w:rPr>
          <w:rFonts w:ascii="宋体" w:eastAsia="宋体" w:hAnsi="宋体" w:cs="宋体" w:hint="eastAsia"/>
          <w:color w:val="333333"/>
          <w:kern w:val="0"/>
          <w:szCs w:val="21"/>
        </w:rPr>
        <w:t xml:space="preserve">　　市财政部门和市价格主管部门将加强监督检查，对不按规定落实本通知关于减征免征收费政策的部门和单位按规定给予处罚，并追究相关责任人员的行政责任。</w:t>
      </w:r>
    </w:p>
    <w:p w:rsidR="00BD3C06" w:rsidRPr="00C96BA0" w:rsidRDefault="00BD3C06"/>
    <w:sectPr w:rsidR="00BD3C06" w:rsidRPr="00C96BA0"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6BA0"/>
    <w:rsid w:val="000223DB"/>
    <w:rsid w:val="000E2AC9"/>
    <w:rsid w:val="00910E51"/>
    <w:rsid w:val="00A375D1"/>
    <w:rsid w:val="00BD3C06"/>
    <w:rsid w:val="00C96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semiHidden/>
    <w:unhideWhenUsed/>
    <w:rsid w:val="00C96B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381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Company>Microsoft</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1</cp:revision>
  <dcterms:created xsi:type="dcterms:W3CDTF">2014-09-19T02:33:00Z</dcterms:created>
  <dcterms:modified xsi:type="dcterms:W3CDTF">2014-09-19T02:33:00Z</dcterms:modified>
</cp:coreProperties>
</file>